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C1A2" w14:textId="799FC113" w:rsidR="00636F54" w:rsidRPr="00327455" w:rsidRDefault="00636F54" w:rsidP="000B4CE1">
      <w:pPr>
        <w:rPr>
          <w:rFonts w:asciiTheme="majorHAnsi" w:hAnsiTheme="majorHAnsi" w:cstheme="majorHAnsi"/>
        </w:rPr>
      </w:pPr>
    </w:p>
    <w:p w14:paraId="00BEE327" w14:textId="361CFC5A" w:rsidR="001F3F51" w:rsidRPr="00327455" w:rsidRDefault="001F3F51" w:rsidP="000B4CE1">
      <w:pPr>
        <w:rPr>
          <w:rFonts w:asciiTheme="majorHAnsi" w:hAnsiTheme="majorHAnsi" w:cstheme="majorHAnsi"/>
        </w:rPr>
      </w:pPr>
    </w:p>
    <w:p w14:paraId="1109D07B" w14:textId="65FDBEA4" w:rsidR="001F3F51" w:rsidRPr="00327455" w:rsidRDefault="001F3F51" w:rsidP="000B4CE1">
      <w:pPr>
        <w:rPr>
          <w:rFonts w:asciiTheme="majorHAnsi" w:hAnsiTheme="majorHAnsi" w:cstheme="majorHAnsi"/>
        </w:rPr>
      </w:pPr>
    </w:p>
    <w:p w14:paraId="52878A6B" w14:textId="58863D28" w:rsidR="001F3F51" w:rsidRPr="00327455" w:rsidRDefault="001F3F51" w:rsidP="001F3F51">
      <w:pPr>
        <w:jc w:val="center"/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Notatka z realizacja zadania</w:t>
      </w:r>
      <w:r w:rsidR="0056282A" w:rsidRPr="00327455">
        <w:rPr>
          <w:rFonts w:asciiTheme="majorHAnsi" w:hAnsiTheme="majorHAnsi" w:cstheme="majorHAnsi"/>
        </w:rPr>
        <w:t xml:space="preserve"> w ramach projektu pn. „Inicjatywa Obywatelska - model lokalny” realizowanego </w:t>
      </w:r>
      <w:bookmarkStart w:id="0" w:name="_Hlk116628692"/>
      <w:r w:rsidR="0056282A" w:rsidRPr="00327455">
        <w:rPr>
          <w:rFonts w:asciiTheme="majorHAnsi" w:hAnsiTheme="majorHAnsi" w:cstheme="majorHAnsi"/>
        </w:rPr>
        <w:t>z dotacji programu Aktywni Obywatele – Fundusz Krajowy, finansowanego z Funduszy EOG</w:t>
      </w:r>
    </w:p>
    <w:bookmarkEnd w:id="0"/>
    <w:p w14:paraId="5A4F8220" w14:textId="77777777" w:rsidR="008A6816" w:rsidRPr="00327455" w:rsidRDefault="008A6816" w:rsidP="008A6816">
      <w:pPr>
        <w:jc w:val="center"/>
        <w:rPr>
          <w:rFonts w:asciiTheme="majorHAnsi" w:hAnsiTheme="majorHAnsi" w:cstheme="majorHAnsi"/>
        </w:rPr>
      </w:pPr>
      <w:proofErr w:type="spellStart"/>
      <w:r w:rsidRPr="00327455">
        <w:rPr>
          <w:rFonts w:asciiTheme="majorHAnsi" w:hAnsiTheme="majorHAnsi" w:cstheme="majorHAnsi"/>
        </w:rPr>
        <w:t>Ministrategia</w:t>
      </w:r>
      <w:proofErr w:type="spellEnd"/>
      <w:r w:rsidRPr="00327455">
        <w:rPr>
          <w:rFonts w:asciiTheme="majorHAnsi" w:hAnsiTheme="majorHAnsi" w:cstheme="majorHAnsi"/>
        </w:rPr>
        <w:t xml:space="preserve"> Stowarzyszenia Wdzydzko-Charzykowska Lokalna Grupa Rybacka „Mòrénka” opracowana w ramach warsztatów realizowanych w ramach projektu pn. „Inicjatywa Obywatelska - model lokalny” realizowanego z dotacji programu Aktywni Obywatele – Fundusz Krajowy, finansowanego z Funduszy EOG</w:t>
      </w:r>
    </w:p>
    <w:p w14:paraId="17D18DC8" w14:textId="2771427F" w:rsidR="000E08B7" w:rsidRPr="00327455" w:rsidRDefault="000E08B7" w:rsidP="00011F10">
      <w:pPr>
        <w:rPr>
          <w:rFonts w:asciiTheme="majorHAnsi" w:hAnsiTheme="majorHAnsi" w:cstheme="majorHAnsi"/>
        </w:rPr>
      </w:pPr>
    </w:p>
    <w:p w14:paraId="3F10D7DB" w14:textId="1176D399" w:rsidR="008A6816" w:rsidRPr="00327455" w:rsidRDefault="008A6816" w:rsidP="00011F10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16A05B2B" wp14:editId="46D045DA">
            <wp:extent cx="5760720" cy="4102088"/>
            <wp:effectExtent l="1905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CDE162E" w14:textId="6A57BAC7" w:rsidR="008A6816" w:rsidRPr="00327455" w:rsidRDefault="008A6816" w:rsidP="00011F10">
      <w:pPr>
        <w:rPr>
          <w:rFonts w:asciiTheme="majorHAnsi" w:hAnsiTheme="majorHAnsi" w:cstheme="majorHAnsi"/>
        </w:rPr>
      </w:pPr>
    </w:p>
    <w:p w14:paraId="2B7AD1FA" w14:textId="77777777" w:rsidR="008A6816" w:rsidRPr="00327455" w:rsidRDefault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br w:type="page"/>
      </w:r>
    </w:p>
    <w:p w14:paraId="25C4B49F" w14:textId="276BBBAB" w:rsidR="008A6816" w:rsidRPr="00327455" w:rsidRDefault="008A6816" w:rsidP="008A6816">
      <w:pPr>
        <w:rPr>
          <w:rFonts w:asciiTheme="majorHAnsi" w:hAnsiTheme="majorHAnsi" w:cstheme="majorHAnsi"/>
          <w:b/>
          <w:bCs/>
        </w:rPr>
      </w:pPr>
      <w:r w:rsidRPr="00327455">
        <w:rPr>
          <w:rFonts w:asciiTheme="majorHAnsi" w:hAnsiTheme="majorHAnsi" w:cstheme="majorHAnsi"/>
          <w:b/>
          <w:bCs/>
        </w:rPr>
        <w:lastRenderedPageBreak/>
        <w:t>ANALIZA SWOT</w:t>
      </w:r>
    </w:p>
    <w:p w14:paraId="5844DAE4" w14:textId="15994759" w:rsidR="00327455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MOCNE STRONY</w:t>
      </w:r>
      <w:r w:rsidR="00327455" w:rsidRPr="00327455">
        <w:rPr>
          <w:rFonts w:asciiTheme="majorHAnsi" w:hAnsiTheme="majorHAnsi" w:cstheme="majorHAnsi"/>
        </w:rPr>
        <w:t>:</w:t>
      </w:r>
    </w:p>
    <w:p w14:paraId="4956F909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Wysoki potencjał turystyczny wynikający z walorów przyrodniczych i krajobrazowych</w:t>
      </w:r>
    </w:p>
    <w:p w14:paraId="289CBC6A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Duża powierzchnia obszarów objętych ochroną przyrody i krajobrazu o status obszaru jako Rezerwatu Biosfery UNESCO Bory Tucholskie</w:t>
      </w:r>
    </w:p>
    <w:p w14:paraId="1FF508CC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Atrakcyjność obszaru dla realizacji inwestycji w branży turystycznej</w:t>
      </w:r>
    </w:p>
    <w:p w14:paraId="165F4F3B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Dobre warunki do rozwoju sektora rybackiego</w:t>
      </w:r>
    </w:p>
    <w:p w14:paraId="616F4B18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Brak uciążliwego przemysłu</w:t>
      </w:r>
    </w:p>
    <w:p w14:paraId="05A0CE8F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Mocno zakorzeniona kultura kaszubska</w:t>
      </w:r>
    </w:p>
    <w:p w14:paraId="0520FA93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Tradycje i infrastruktura żeglarska</w:t>
      </w:r>
    </w:p>
    <w:p w14:paraId="5D399CD6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Występowanie atrakcji turystycznych o znaczeniu ponadregionalnym</w:t>
      </w:r>
    </w:p>
    <w:p w14:paraId="0642A9DE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Korzystniejsze w porównaniu do średnich wojewódzkich wskaźniki demograficzne</w:t>
      </w:r>
    </w:p>
    <w:p w14:paraId="467B613F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Duża aktywność gospodarcza mieszkańców - wyższy niż w województwach wskaźnik nowotworzonych podmiotów gospodarczych</w:t>
      </w:r>
    </w:p>
    <w:p w14:paraId="064E7F30" w14:textId="77777777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Sprzyjające warunki do uprawnia aktywnych form turystyki</w:t>
      </w:r>
    </w:p>
    <w:p w14:paraId="3452EB70" w14:textId="0E5DF21A" w:rsidR="00327455" w:rsidRPr="00327455" w:rsidRDefault="00327455" w:rsidP="00327455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Rozwinięta infrastruktura turystyczna i rekreacyjna</w:t>
      </w:r>
    </w:p>
    <w:p w14:paraId="451D84DF" w14:textId="1D52F7D1" w:rsidR="00327455" w:rsidRPr="00327455" w:rsidRDefault="00327455" w:rsidP="00327455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SŁABE STRONY:</w:t>
      </w:r>
    </w:p>
    <w:p w14:paraId="3A4EBF8C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Ograniczona dostępność komunikacyjna, szczególnie komunikacją publiczną</w:t>
      </w:r>
    </w:p>
    <w:p w14:paraId="7A173286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Niski standard znacznej części bazy noclegowej</w:t>
      </w:r>
    </w:p>
    <w:p w14:paraId="66FA489F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Nadmierna antropopresja</w:t>
      </w:r>
    </w:p>
    <w:p w14:paraId="2AC0E50A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Niewystarczające zagospodarowanie szlaków wodnych i jezior dla rozwoju turystyki oraz niewystarczające oznakowanie szlaków i atrakcji turystycznych</w:t>
      </w:r>
    </w:p>
    <w:p w14:paraId="451F6BFA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Ograniczona współpraca przedsiębiorców, organizacji i sektora publicznego w zakresie promocji regionu</w:t>
      </w:r>
    </w:p>
    <w:p w14:paraId="617E2A43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Słaby dostęp do produktów lokalnych w stosunku do potencjału</w:t>
      </w:r>
    </w:p>
    <w:p w14:paraId="40284161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Brak spójnej promocji regionu</w:t>
      </w:r>
    </w:p>
    <w:p w14:paraId="6360F570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Mała różnorodność oferty turystycznej i brak usług wydłużających sezon turystyczny</w:t>
      </w:r>
    </w:p>
    <w:p w14:paraId="19B4A34E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Niskie wykorzystanie odnawialnych źródeł energii</w:t>
      </w:r>
    </w:p>
    <w:p w14:paraId="41E9A41A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Niska rentowność większości gospodarstw rybackich</w:t>
      </w:r>
    </w:p>
    <w:p w14:paraId="3B495F33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Niski wskaźnik przedsiębiorczości</w:t>
      </w:r>
    </w:p>
    <w:p w14:paraId="13169ACF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Stosunkowo mała liczba organizacji pozarządowych i niska aktywność społeczna</w:t>
      </w:r>
    </w:p>
    <w:p w14:paraId="653DB444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brak produktów lokalnych w bazie gastronomicznej szczególnie ryb lokalnych</w:t>
      </w:r>
    </w:p>
    <w:p w14:paraId="0B396FF8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Niewystarczająca sieć sprzedaży produktów rybactwa</w:t>
      </w:r>
    </w:p>
    <w:p w14:paraId="358939B6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Słaba baza gastronomiczna</w:t>
      </w:r>
    </w:p>
    <w:p w14:paraId="6C77D2EE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Niska mobilność zawodowa i przestrzenna osób bez pracy</w:t>
      </w:r>
    </w:p>
    <w:p w14:paraId="4BE3F02B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Znaczny odsetek osób biernych zawodowo</w:t>
      </w:r>
    </w:p>
    <w:p w14:paraId="02817745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Wysoki jest odsetek osób i rodzin dotkniętych i zagrożonych ubóstwem i wykluczeniem społecznym uzależnionych od dochodów z pomocy społeczne</w:t>
      </w:r>
    </w:p>
    <w:p w14:paraId="3BC936C8" w14:textId="77777777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Niedostosowanie kwalifikacji osób pozostający bez pracy do potrzeb rynku pracy</w:t>
      </w:r>
    </w:p>
    <w:p w14:paraId="12F9D54F" w14:textId="008BEE3C" w:rsidR="00327455" w:rsidRPr="00327455" w:rsidRDefault="00327455" w:rsidP="00327455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Niskie kwalifikacje kardy branży turystycznej</w:t>
      </w:r>
    </w:p>
    <w:p w14:paraId="133F1C09" w14:textId="2C7FC25C" w:rsidR="00327455" w:rsidRPr="00327455" w:rsidRDefault="00327455" w:rsidP="00327455">
      <w:pPr>
        <w:rPr>
          <w:rFonts w:asciiTheme="majorHAnsi" w:hAnsiTheme="majorHAnsi" w:cstheme="majorHAnsi"/>
        </w:rPr>
      </w:pPr>
    </w:p>
    <w:p w14:paraId="3C500EE0" w14:textId="7A633133" w:rsidR="00327455" w:rsidRPr="00327455" w:rsidRDefault="00327455" w:rsidP="00327455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SZANSE</w:t>
      </w:r>
    </w:p>
    <w:p w14:paraId="4E53CA68" w14:textId="77777777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lastRenderedPageBreak/>
        <w:t>Zintegrowanie działań mających na celu promocję regionu jako jednej marki promocyjnej</w:t>
      </w:r>
    </w:p>
    <w:p w14:paraId="7F88E2A0" w14:textId="77777777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Korzystne trendy w turystyce - popularność aktywnych form wypoczynku</w:t>
      </w:r>
    </w:p>
    <w:p w14:paraId="416B1514" w14:textId="77777777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Realizacja systemowych projektów turystycznych - Pomorskie Szlaki Kajakowe</w:t>
      </w:r>
    </w:p>
    <w:p w14:paraId="44146AF8" w14:textId="77777777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Możliwość wsparcia gospodarki i mieszkańców dzięki Funduszom Europejskim</w:t>
      </w:r>
    </w:p>
    <w:p w14:paraId="5E58899A" w14:textId="77777777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Rosnąca popularność spożycia ryb</w:t>
      </w:r>
    </w:p>
    <w:p w14:paraId="4A636D29" w14:textId="71301568" w:rsidR="00327455" w:rsidRPr="00327455" w:rsidRDefault="00327455" w:rsidP="00327455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Wzrost gospodarczy kraju i bogacenie się społeczeństwa</w:t>
      </w:r>
    </w:p>
    <w:p w14:paraId="5CB22320" w14:textId="477CACE2" w:rsidR="00327455" w:rsidRPr="00327455" w:rsidRDefault="00327455" w:rsidP="00327455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ZAGROŻENIA:</w:t>
      </w:r>
    </w:p>
    <w:p w14:paraId="4E0D2C56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Starzenie się społeczeństwa</w:t>
      </w:r>
    </w:p>
    <w:p w14:paraId="6A6AC4B1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Marginalizacja kultury i dziedzictwa lokalnego, szczególnie wśród osób młodych</w:t>
      </w:r>
    </w:p>
    <w:p w14:paraId="1D08B842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Rozwarstwienie społeczne, szczególnie osób ubogich i zagrożonych wykluczeniem społecznym</w:t>
      </w:r>
    </w:p>
    <w:p w14:paraId="72917C6A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Zagrożenia wynikające ze zmian klimatu dla środowiska naturalnego i gospodarki rybackiej</w:t>
      </w:r>
    </w:p>
    <w:p w14:paraId="525ED070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Zwiększająca się antropopresja na środowisko naturalne szczególnie na obszarach ochrony</w:t>
      </w:r>
    </w:p>
    <w:p w14:paraId="1A6F421D" w14:textId="77777777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Zanik więzi społecznych, tożsamości kulturowej  i zmniejszenie aktywności społecznej</w:t>
      </w:r>
    </w:p>
    <w:p w14:paraId="150147F3" w14:textId="39481BD1" w:rsidR="00327455" w:rsidRPr="00327455" w:rsidRDefault="00327455" w:rsidP="00327455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Wzrost konkurencyjności sąsiednich obszarów</w:t>
      </w:r>
    </w:p>
    <w:p w14:paraId="423268FF" w14:textId="77777777" w:rsidR="00327455" w:rsidRPr="00327455" w:rsidRDefault="00327455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br w:type="page"/>
      </w:r>
    </w:p>
    <w:p w14:paraId="253CB1CF" w14:textId="63C14379" w:rsidR="008A6816" w:rsidRPr="00327455" w:rsidRDefault="008A6816" w:rsidP="008A6816">
      <w:pPr>
        <w:rPr>
          <w:rFonts w:asciiTheme="majorHAnsi" w:hAnsiTheme="majorHAnsi" w:cstheme="majorHAnsi"/>
          <w:b/>
          <w:bCs/>
        </w:rPr>
      </w:pPr>
      <w:r w:rsidRPr="00327455">
        <w:rPr>
          <w:rFonts w:asciiTheme="majorHAnsi" w:hAnsiTheme="majorHAnsi" w:cstheme="majorHAnsi"/>
          <w:b/>
          <w:bCs/>
        </w:rPr>
        <w:lastRenderedPageBreak/>
        <w:t>WNIOSKI I REKOMENDACJE</w:t>
      </w:r>
    </w:p>
    <w:p w14:paraId="247E25F9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W oparciu o sporządzoną diagnozę i analiza SWOT określono kluczowe bariery, potencjał i rekomendacje dotyczące rozwoju obszaru objętego LSR.</w:t>
      </w:r>
    </w:p>
    <w:p w14:paraId="168377C8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BARIERY</w:t>
      </w:r>
    </w:p>
    <w:p w14:paraId="4C970195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1)</w:t>
      </w:r>
      <w:r w:rsidRPr="00327455">
        <w:rPr>
          <w:rFonts w:asciiTheme="majorHAnsi" w:hAnsiTheme="majorHAnsi" w:cstheme="majorHAnsi"/>
        </w:rPr>
        <w:tab/>
        <w:t xml:space="preserve">Do największych barier rozwoju należy utrzymujący się niedostateczny poziom zatrudnienia, który jest znacznie niższy od średnich wojewódzkich. </w:t>
      </w:r>
    </w:p>
    <w:p w14:paraId="5824875F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2)</w:t>
      </w:r>
      <w:r w:rsidRPr="00327455">
        <w:rPr>
          <w:rFonts w:asciiTheme="majorHAnsi" w:hAnsiTheme="majorHAnsi" w:cstheme="majorHAnsi"/>
        </w:rPr>
        <w:tab/>
        <w:t>Niskie zatrudnienie przekłada się wysoki stopień osób biernych zawodowo i wysoki poziom bezrobocia oraz wysoki poziom osób korzystających z świadczeń pomocy społecznej. Dodatkowo problemem jest malejąca liczba osób wchodzących na rynek pracy.</w:t>
      </w:r>
    </w:p>
    <w:p w14:paraId="0C6A23FA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3)</w:t>
      </w:r>
      <w:r w:rsidRPr="00327455">
        <w:rPr>
          <w:rFonts w:asciiTheme="majorHAnsi" w:hAnsiTheme="majorHAnsi" w:cstheme="majorHAnsi"/>
        </w:rPr>
        <w:tab/>
        <w:t>Obszar charakteryzuje się też niskim wskaźnikiem przedsiębiorczości – znacznie niższym od średnich wojewódzkich.</w:t>
      </w:r>
    </w:p>
    <w:p w14:paraId="5EF2E6D7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4)</w:t>
      </w:r>
      <w:r w:rsidRPr="00327455">
        <w:rPr>
          <w:rFonts w:asciiTheme="majorHAnsi" w:hAnsiTheme="majorHAnsi" w:cstheme="majorHAnsi"/>
        </w:rPr>
        <w:tab/>
        <w:t>Poziom aktywności społecznej na obszarze również jest niższy w stosunku do wartości wojewódzkich, przekłada się to wprost na małą liczbę aktywnych organizacji pozarządowych.</w:t>
      </w:r>
    </w:p>
    <w:p w14:paraId="278EA8B7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POTENCJAŁ</w:t>
      </w:r>
    </w:p>
    <w:p w14:paraId="26EB2975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1)</w:t>
      </w:r>
      <w:r w:rsidRPr="00327455">
        <w:rPr>
          <w:rFonts w:asciiTheme="majorHAnsi" w:hAnsiTheme="majorHAnsi" w:cstheme="majorHAnsi"/>
        </w:rPr>
        <w:tab/>
        <w:t xml:space="preserve">Obszar charakteryzuje się unikatowym środowiskiem i walorami krajobrazowymi oraz silną tożsamością kulturową. Znaczna cześć obszaru objęta jest różnymi formami ochrony przyrody i krajobrazu, a ponadto obszar ma status Rezerwatu Przyrody UNESCO Bory Tucholskie, który jest rozpoznawalną na całym świecie marką promocyjną. </w:t>
      </w:r>
    </w:p>
    <w:p w14:paraId="26A23117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2)</w:t>
      </w:r>
      <w:r w:rsidRPr="00327455">
        <w:rPr>
          <w:rFonts w:asciiTheme="majorHAnsi" w:hAnsiTheme="majorHAnsi" w:cstheme="majorHAnsi"/>
        </w:rPr>
        <w:tab/>
        <w:t xml:space="preserve">Warunki naturalne od lat determinowały rozwój obszaru związany z działalnością rybacką i przez setki lat ryby były jednym z najważniejszych zasobów naturalnych regionu. Dzięki temu bardzo ważne znaczenie w lokalnym dziedzictwie kulturowym odegrała właśnie ta branża. </w:t>
      </w:r>
    </w:p>
    <w:p w14:paraId="3742130D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3)</w:t>
      </w:r>
      <w:r w:rsidRPr="00327455">
        <w:rPr>
          <w:rFonts w:asciiTheme="majorHAnsi" w:hAnsiTheme="majorHAnsi" w:cstheme="majorHAnsi"/>
        </w:rPr>
        <w:tab/>
        <w:t>Region posiada olbrzymi potencjał turystyczny który jest i powinien być rozwijany w oparciu o zasoby naturalne i istniejącą infrastrukturę.</w:t>
      </w:r>
    </w:p>
    <w:p w14:paraId="7CE1AF70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4)</w:t>
      </w:r>
      <w:r w:rsidRPr="00327455">
        <w:rPr>
          <w:rFonts w:asciiTheme="majorHAnsi" w:hAnsiTheme="majorHAnsi" w:cstheme="majorHAnsi"/>
        </w:rPr>
        <w:tab/>
        <w:t>Mieszkańcy obszaru wykazują się też dużą aktywnością zakładaniu nowych podmiotów gospodarczy, wyższą niż w województwach, a liczba zamykanych jest stosunkowo niższa.</w:t>
      </w:r>
    </w:p>
    <w:p w14:paraId="79145418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REKOMENDACJE</w:t>
      </w:r>
    </w:p>
    <w:p w14:paraId="1BEB1907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1)</w:t>
      </w:r>
      <w:r w:rsidRPr="00327455">
        <w:rPr>
          <w:rFonts w:asciiTheme="majorHAnsi" w:hAnsiTheme="majorHAnsi" w:cstheme="majorHAnsi"/>
        </w:rPr>
        <w:tab/>
        <w:t>Szczególne znaczenie dla utrzymania walorów obszaru ma ochrona przyrody poprzez zachowanie bioróżnorodności, wykorzystywanie odnawialnych źródłem energii oraz ograniczenie antropopresji będącej skutkiem rozwoju turystyki.</w:t>
      </w:r>
    </w:p>
    <w:p w14:paraId="252BE235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2)</w:t>
      </w:r>
      <w:r w:rsidRPr="00327455">
        <w:rPr>
          <w:rFonts w:asciiTheme="majorHAnsi" w:hAnsiTheme="majorHAnsi" w:cstheme="majorHAnsi"/>
        </w:rPr>
        <w:tab/>
        <w:t>Podstawą do uzupełnienia oferty turystycznej i rekreacyjnej regionu jest dalszy rozwój infrastruktury turystycznej, szczególnie poprzez przedsięwzięcia, które mają charakter zintegrowany i spójny z dotychczas podejmowanymi działaniami.</w:t>
      </w:r>
    </w:p>
    <w:p w14:paraId="1F91DBBB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3)</w:t>
      </w:r>
      <w:r w:rsidRPr="00327455">
        <w:rPr>
          <w:rFonts w:asciiTheme="majorHAnsi" w:hAnsiTheme="majorHAnsi" w:cstheme="majorHAnsi"/>
        </w:rPr>
        <w:tab/>
        <w:t>Szczególne znaczenie dla obszaru ma wzrost rentowności gospodarstw rybackich poprzez dywersyfikację działalności.</w:t>
      </w:r>
    </w:p>
    <w:p w14:paraId="39A74B8F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4)</w:t>
      </w:r>
      <w:r w:rsidRPr="00327455">
        <w:rPr>
          <w:rFonts w:asciiTheme="majorHAnsi" w:hAnsiTheme="majorHAnsi" w:cstheme="majorHAnsi"/>
        </w:rPr>
        <w:tab/>
        <w:t>Nie bez znaczenia pozostaje rola lokalnych społeczności i mobilizacja mieszkańców i organizacji do większej aktywności szczególnie w działaniach związanych z utrwalaniem i promowanie dziedzictwa kulturowego.</w:t>
      </w:r>
    </w:p>
    <w:p w14:paraId="620A7062" w14:textId="77777777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lastRenderedPageBreak/>
        <w:t>5)</w:t>
      </w:r>
      <w:r w:rsidRPr="00327455">
        <w:rPr>
          <w:rFonts w:asciiTheme="majorHAnsi" w:hAnsiTheme="majorHAnsi" w:cstheme="majorHAnsi"/>
        </w:rPr>
        <w:tab/>
        <w:t>Ważnym bodźcem dla wzrostu aktywności gospodarczej będzie miało zastosowanie odpowiednich narzędzi, dzięki którym mieszkańcy będą mogli uzyskać wsparcie na podejmowanie działalności gospodarczej, a funkcjonujące podmioty na rozwój działalności poprzez podniesienie jakości świadczonych usług lub wprowadzenie nowych.</w:t>
      </w:r>
    </w:p>
    <w:p w14:paraId="654B3681" w14:textId="45864BB9" w:rsidR="008A6816" w:rsidRPr="00327455" w:rsidRDefault="008A6816" w:rsidP="008A6816">
      <w:pPr>
        <w:rPr>
          <w:rFonts w:asciiTheme="majorHAnsi" w:hAnsiTheme="majorHAnsi" w:cstheme="majorHAnsi"/>
        </w:rPr>
      </w:pPr>
      <w:r w:rsidRPr="00327455">
        <w:rPr>
          <w:rFonts w:asciiTheme="majorHAnsi" w:hAnsiTheme="majorHAnsi" w:cstheme="majorHAnsi"/>
        </w:rPr>
        <w:t>6)</w:t>
      </w:r>
      <w:r w:rsidRPr="00327455">
        <w:rPr>
          <w:rFonts w:asciiTheme="majorHAnsi" w:hAnsiTheme="majorHAnsi" w:cstheme="majorHAnsi"/>
        </w:rPr>
        <w:tab/>
        <w:t xml:space="preserve">Szczególnie istotne z perspektywy regionu będzie bezpośrednie oddziaływanie na rynek pracy poprzez aktywizację osób bezrobotnych i biernych zawodowo oraz ukierunkowanie i wsparcie w podniesieniu kwalifikacji, pozwalających na zatrudnienie lub podjęcie własnej działalności.   </w:t>
      </w:r>
    </w:p>
    <w:p w14:paraId="4E6F7D44" w14:textId="0A2D419C" w:rsidR="00403C81" w:rsidRDefault="00403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53AB845" w14:textId="677CA49C" w:rsidR="000E08B7" w:rsidRDefault="00403C81" w:rsidP="00011F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Przedstawione powyżej informacje zaczerpnięte z opracowanej przez Stowarzyszenie Wdzydzko-Charzykowska Lokalna Grupa Rybacka „Mòrénka” Lokalnej Strategii Rozwoju 2015-2023 w 2015 roku stanowiły punkt wyjścia do prowadzonej dyskusji w trakcie warsztatów. Przedstawiona przez pracowników biura analiza realizacji poszczególnych wskaźników pokazała obraz stopnia realizacji poszczególnych celów LSR w kontekście wcześniejszych założeń</w:t>
      </w:r>
      <w:r w:rsidR="00A07BB0">
        <w:rPr>
          <w:rFonts w:asciiTheme="majorHAnsi" w:hAnsiTheme="majorHAnsi" w:cstheme="majorHAnsi"/>
        </w:rPr>
        <w:t xml:space="preserve">. </w:t>
      </w:r>
    </w:p>
    <w:p w14:paraId="33C3E9C9" w14:textId="7C802590" w:rsidR="00A07BB0" w:rsidRDefault="00A07BB0" w:rsidP="00011F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analizy efektów realizacji LSR wzięto również pod uwagę fakt, że była ona przygotowana pod katem możliwości finansowych określonych </w:t>
      </w:r>
      <w:r w:rsidR="00014DF4">
        <w:rPr>
          <w:rFonts w:asciiTheme="majorHAnsi" w:hAnsiTheme="majorHAnsi" w:cstheme="majorHAnsi"/>
        </w:rPr>
        <w:t>projektowanych rozporządzeniach dotyczących wdrażania PO „Rybactwo i Morze” 2014-2020 oraz Regionalnego Programu Operacyjnego Województwa Pomorskiego 2014-2020. Co determinowało ograniczony katalog przedsięwzięć, które mogą zostać zaplanowane w ramach Lokalnej Strategii Rozwoju.</w:t>
      </w:r>
    </w:p>
    <w:p w14:paraId="5B2E0BCF" w14:textId="2CBA0342" w:rsidR="00014DF4" w:rsidRDefault="00014DF4" w:rsidP="00011F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Kolejnym elementem istotnym w prowadzonych dyskusjach był „katalog” przedsięwzięć jakie LGR Mòrénka w ostatnich latach realizowała, a nie wynikały z opracowanej wcześniej Lokalnej Strategii Rozwoju.</w:t>
      </w:r>
    </w:p>
    <w:p w14:paraId="3D209755" w14:textId="48BAA703" w:rsidR="00014DF4" w:rsidRDefault="00014DF4" w:rsidP="00011F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Ustalono, że opracowanie przygotowywane w warsztatów realizowanych w ramach projektu „</w:t>
      </w:r>
      <w:r w:rsidRPr="00327455">
        <w:rPr>
          <w:rFonts w:asciiTheme="majorHAnsi" w:hAnsiTheme="majorHAnsi" w:cstheme="majorHAnsi"/>
        </w:rPr>
        <w:t>Inicjatywa Obywatelska - model lokalny</w:t>
      </w:r>
      <w:r>
        <w:rPr>
          <w:rFonts w:asciiTheme="majorHAnsi" w:hAnsiTheme="majorHAnsi" w:cstheme="majorHAnsi"/>
        </w:rPr>
        <w:t>” stanowić będzie szeroki katalog działań/obszarów, które mogą być przedmiotem działalności Stowarzyszenia niezależnie od przewidywanych na ten cel źródeł finansowania.</w:t>
      </w:r>
    </w:p>
    <w:p w14:paraId="3BA5F1DC" w14:textId="68B83E28" w:rsidR="00E878AC" w:rsidRDefault="00014DF4" w:rsidP="00011F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wyniku praca w trakcie warsztatów określono następujące główne obszary działalności Stowarzyszenia Wdzydzko-Charzykowska Lokalna Grupa Rybacka „Mòrénka”.</w:t>
      </w:r>
    </w:p>
    <w:p w14:paraId="7F3560C4" w14:textId="3DCE300C" w:rsidR="00E878AC" w:rsidRDefault="00E878AC">
      <w:pPr>
        <w:rPr>
          <w:rFonts w:asciiTheme="majorHAnsi" w:hAnsiTheme="majorHAnsi" w:cstheme="majorHAnsi"/>
        </w:rPr>
      </w:pPr>
    </w:p>
    <w:p w14:paraId="16EBA226" w14:textId="77777777" w:rsidR="00014DF4" w:rsidRPr="00327455" w:rsidRDefault="00014DF4" w:rsidP="00011F10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78AC" w14:paraId="573E85DB" w14:textId="77777777" w:rsidTr="00E878AC">
        <w:tc>
          <w:tcPr>
            <w:tcW w:w="2265" w:type="dxa"/>
          </w:tcPr>
          <w:p w14:paraId="25D7A692" w14:textId="014CC11E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Obszar działalności</w:t>
            </w:r>
          </w:p>
        </w:tc>
        <w:tc>
          <w:tcPr>
            <w:tcW w:w="2265" w:type="dxa"/>
          </w:tcPr>
          <w:p w14:paraId="5D1E0521" w14:textId="5AB06C5E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Społeczny</w:t>
            </w:r>
          </w:p>
        </w:tc>
        <w:tc>
          <w:tcPr>
            <w:tcW w:w="2266" w:type="dxa"/>
          </w:tcPr>
          <w:p w14:paraId="63B7B7E0" w14:textId="1EF9CD1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Gospodarczy</w:t>
            </w:r>
          </w:p>
        </w:tc>
        <w:tc>
          <w:tcPr>
            <w:tcW w:w="2266" w:type="dxa"/>
          </w:tcPr>
          <w:p w14:paraId="1A15F401" w14:textId="365178CA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Regionalny</w:t>
            </w:r>
          </w:p>
        </w:tc>
      </w:tr>
      <w:tr w:rsidR="00E878AC" w14:paraId="68805009" w14:textId="77777777" w:rsidTr="00E878AC">
        <w:tc>
          <w:tcPr>
            <w:tcW w:w="2265" w:type="dxa"/>
          </w:tcPr>
          <w:p w14:paraId="14A204F1" w14:textId="3C4812D6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Grupa docelowa</w:t>
            </w:r>
          </w:p>
        </w:tc>
        <w:tc>
          <w:tcPr>
            <w:tcW w:w="2265" w:type="dxa"/>
          </w:tcPr>
          <w:p w14:paraId="38215146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lokalne społeczności</w:t>
            </w:r>
          </w:p>
          <w:p w14:paraId="44835A57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organizacje pozarządowe</w:t>
            </w:r>
          </w:p>
          <w:p w14:paraId="26A457FC" w14:textId="394DCAB4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seniorzy</w:t>
            </w:r>
          </w:p>
        </w:tc>
        <w:tc>
          <w:tcPr>
            <w:tcW w:w="2266" w:type="dxa"/>
          </w:tcPr>
          <w:p w14:paraId="186274E7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podmioty z branży rybackiej</w:t>
            </w:r>
          </w:p>
          <w:p w14:paraId="30093BB6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przedsiębiorcy</w:t>
            </w:r>
          </w:p>
          <w:p w14:paraId="2E9FECDF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osoby pracujące</w:t>
            </w:r>
          </w:p>
          <w:p w14:paraId="09D02E80" w14:textId="37E01D8E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osoby nieaktywne zawodowy</w:t>
            </w:r>
          </w:p>
        </w:tc>
        <w:tc>
          <w:tcPr>
            <w:tcW w:w="2266" w:type="dxa"/>
          </w:tcPr>
          <w:p w14:paraId="3AE5A93C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lokalne samorządy</w:t>
            </w:r>
          </w:p>
          <w:p w14:paraId="729A609C" w14:textId="77777777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organizacje i instytucje związane z promocją regionu</w:t>
            </w:r>
          </w:p>
          <w:p w14:paraId="3CB624AE" w14:textId="15CD3648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-organizacje i  instytucje ochrony przyrody</w:t>
            </w:r>
          </w:p>
          <w:p w14:paraId="129490B6" w14:textId="3E5068E5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</w:p>
        </w:tc>
      </w:tr>
      <w:tr w:rsidR="00E878AC" w14:paraId="41D630C1" w14:textId="77777777" w:rsidTr="00E878AC">
        <w:tc>
          <w:tcPr>
            <w:tcW w:w="2265" w:type="dxa"/>
          </w:tcPr>
          <w:p w14:paraId="1D8B52C5" w14:textId="137EE463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Proponowane działania</w:t>
            </w:r>
          </w:p>
        </w:tc>
        <w:tc>
          <w:tcPr>
            <w:tcW w:w="2265" w:type="dxa"/>
          </w:tcPr>
          <w:p w14:paraId="3150CF70" w14:textId="090269B1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animacja aktywności w lokalnych społecznościach</w:t>
            </w:r>
          </w:p>
          <w:p w14:paraId="3C9D6359" w14:textId="0EB311FD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edukacja przedstawicieli lokalnych organizacji pozarządowych</w:t>
            </w:r>
          </w:p>
          <w:p w14:paraId="06C5D986" w14:textId="13DD31A3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wsparcie finansowe i nie finansowe lokalnych inicjatyw</w:t>
            </w:r>
          </w:p>
          <w:p w14:paraId="27C5E680" w14:textId="6816A439" w:rsidR="00E878AC" w:rsidRDefault="00E878AC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realizacja in</w:t>
            </w:r>
            <w:r w:rsidR="009458FB">
              <w:rPr>
                <w:rFonts w:asciiTheme="majorHAnsi" w:hAnsiTheme="majorHAnsi" w:cstheme="majorHAnsi"/>
              </w:rPr>
              <w:t>icjatyw na rzecz aktywności seniorów</w:t>
            </w:r>
          </w:p>
          <w:p w14:paraId="04F31FD2" w14:textId="4820E728" w:rsidR="00E878AC" w:rsidRDefault="00E878AC" w:rsidP="00011F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77855210" w14:textId="77777777" w:rsidR="00E878AC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wsparcie szkoleniowe dla podmiotów branży rybackiej</w:t>
            </w:r>
          </w:p>
          <w:p w14:paraId="0F69AC38" w14:textId="77777777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wsparcie dotacyjne dla podmiotów branży rybackiej</w:t>
            </w:r>
          </w:p>
          <w:p w14:paraId="332BCE2B" w14:textId="77777777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wsparcie informacyjne i doradcze dla podmiotów gospodarczych</w:t>
            </w:r>
          </w:p>
          <w:p w14:paraId="1A34BB29" w14:textId="77777777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wsparcie dotacyjne dla podmiotów gospodarczych</w:t>
            </w:r>
          </w:p>
          <w:p w14:paraId="0F959582" w14:textId="77777777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organizacja usług szkoleniowych dla osób pracujących</w:t>
            </w:r>
          </w:p>
          <w:p w14:paraId="7E185D01" w14:textId="01DE1AA5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realizacja kompleksowych projektów na rzecz osób nieaktywnych zawodowo</w:t>
            </w:r>
          </w:p>
        </w:tc>
        <w:tc>
          <w:tcPr>
            <w:tcW w:w="2266" w:type="dxa"/>
          </w:tcPr>
          <w:p w14:paraId="0BB4B9B2" w14:textId="77777777" w:rsidR="00E878AC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wsparcie dotacyjne na rzecz samorządów w zakresie infrastruktury społecznej, kulturalnej i turystycznej</w:t>
            </w:r>
          </w:p>
          <w:p w14:paraId="769F1ADF" w14:textId="77777777" w:rsidR="009458FB" w:rsidRDefault="009458FB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D92C44">
              <w:rPr>
                <w:rFonts w:asciiTheme="majorHAnsi" w:hAnsiTheme="majorHAnsi" w:cstheme="majorHAnsi"/>
              </w:rPr>
              <w:t>wsparcie dotacyjne na rzecz samorządów w zakresie realizacji projektów związanych z ochroną środowiska</w:t>
            </w:r>
          </w:p>
          <w:p w14:paraId="07B4E587" w14:textId="53B4B78D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realizacja samodzielnych i </w:t>
            </w:r>
            <w:r>
              <w:rPr>
                <w:rFonts w:asciiTheme="majorHAnsi" w:hAnsiTheme="majorHAnsi" w:cstheme="majorHAnsi"/>
              </w:rPr>
              <w:lastRenderedPageBreak/>
              <w:t xml:space="preserve">partnerskich projektów związanych z promocją regionu </w:t>
            </w:r>
          </w:p>
        </w:tc>
      </w:tr>
      <w:tr w:rsidR="00E878AC" w14:paraId="4D02EB9D" w14:textId="77777777" w:rsidTr="00E878AC">
        <w:tc>
          <w:tcPr>
            <w:tcW w:w="2265" w:type="dxa"/>
          </w:tcPr>
          <w:p w14:paraId="5119253E" w14:textId="62F227FB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Forma realizacji</w:t>
            </w:r>
          </w:p>
        </w:tc>
        <w:tc>
          <w:tcPr>
            <w:tcW w:w="2265" w:type="dxa"/>
          </w:tcPr>
          <w:p w14:paraId="4CB6A027" w14:textId="43238A9B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Projekty własne, projekty zewnętrzne, dotacje</w:t>
            </w:r>
          </w:p>
        </w:tc>
        <w:tc>
          <w:tcPr>
            <w:tcW w:w="2266" w:type="dxa"/>
          </w:tcPr>
          <w:p w14:paraId="152ACFD6" w14:textId="3E92A316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Projekty własne, projekty zewnętrzne, dotacje</w:t>
            </w:r>
          </w:p>
        </w:tc>
        <w:tc>
          <w:tcPr>
            <w:tcW w:w="2266" w:type="dxa"/>
          </w:tcPr>
          <w:p w14:paraId="26740C27" w14:textId="1A875305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Projekty własne, projekty zewnętrzne, dotacje</w:t>
            </w:r>
          </w:p>
        </w:tc>
      </w:tr>
      <w:tr w:rsidR="00E878AC" w14:paraId="1F7B6ECD" w14:textId="77777777" w:rsidTr="00E878AC">
        <w:tc>
          <w:tcPr>
            <w:tcW w:w="2265" w:type="dxa"/>
          </w:tcPr>
          <w:p w14:paraId="0415CFC3" w14:textId="1EAE643A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Źródła finansowania</w:t>
            </w:r>
          </w:p>
        </w:tc>
        <w:tc>
          <w:tcPr>
            <w:tcW w:w="2265" w:type="dxa"/>
          </w:tcPr>
          <w:p w14:paraId="53D02AA1" w14:textId="09FFED5D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Środki własne, Lokalna Strategia Rozwoju, projekty zewnętrzne</w:t>
            </w:r>
          </w:p>
        </w:tc>
        <w:tc>
          <w:tcPr>
            <w:tcW w:w="2266" w:type="dxa"/>
          </w:tcPr>
          <w:p w14:paraId="74004491" w14:textId="1B0F08CA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Lokalna Strategia Rozwoju, projekty zewnętrzne</w:t>
            </w:r>
          </w:p>
        </w:tc>
        <w:tc>
          <w:tcPr>
            <w:tcW w:w="2266" w:type="dxa"/>
          </w:tcPr>
          <w:p w14:paraId="495365F6" w14:textId="00E1DE0D" w:rsidR="00E878AC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Środki własne, Lokalna Strategia Rozwoju, projekty zewnętrzne</w:t>
            </w:r>
          </w:p>
        </w:tc>
      </w:tr>
      <w:tr w:rsidR="00D92C44" w14:paraId="355FF9D2" w14:textId="77777777" w:rsidTr="00AD5FB1">
        <w:tc>
          <w:tcPr>
            <w:tcW w:w="2265" w:type="dxa"/>
          </w:tcPr>
          <w:p w14:paraId="14D9ECD1" w14:textId="037B83A3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 realizacji projektów</w:t>
            </w:r>
          </w:p>
        </w:tc>
        <w:tc>
          <w:tcPr>
            <w:tcW w:w="6797" w:type="dxa"/>
            <w:gridSpan w:val="3"/>
          </w:tcPr>
          <w:p w14:paraId="61AC1DF6" w14:textId="2A920251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Projekty są inicjowane na poziomie biura oraz Zarządu</w:t>
            </w:r>
          </w:p>
          <w:p w14:paraId="4EFB7305" w14:textId="5E77A1A4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Opracowanie dokumentacji projektowych jest po stronie biura LGR</w:t>
            </w:r>
          </w:p>
          <w:p w14:paraId="769227D2" w14:textId="25BE993D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Kluczowe decyzje związane z realizacją projektu podejmowane są przez Zarząd w konsultacji z biurem</w:t>
            </w:r>
          </w:p>
          <w:p w14:paraId="14D3D6BA" w14:textId="77777777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Operacyjne zarządzanie projektami jest po stronie biura w konsultacji z Zarządem</w:t>
            </w:r>
          </w:p>
          <w:p w14:paraId="39433E71" w14:textId="77777777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Monitoring i ewaluacja projektów jest prezentowana członkom Zarządu</w:t>
            </w:r>
          </w:p>
          <w:p w14:paraId="6E78BA23" w14:textId="77777777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Zarząd minimum raz do roku prezentuje szczegółowy zakres realizowanych i działań oraz planowanych przedsięwzięć</w:t>
            </w:r>
          </w:p>
          <w:p w14:paraId="78978A3E" w14:textId="77777777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Członkowie Stowarzyszenia (Walne) może uczestniczyć w każdym etapie realizacji projektów</w:t>
            </w:r>
          </w:p>
          <w:p w14:paraId="02FB1036" w14:textId="77777777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Stowarzyszenie w miarę możliwości stara się pokrywać koszty działalności ze środków zewnętrznych</w:t>
            </w:r>
          </w:p>
          <w:p w14:paraId="317D778C" w14:textId="708B4E81" w:rsidR="00D92C44" w:rsidRDefault="00D92C44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Składki członkowskie powinny stanowić wymagany wkład własny do projektów</w:t>
            </w:r>
            <w:r w:rsidR="004B4152">
              <w:rPr>
                <w:rFonts w:asciiTheme="majorHAnsi" w:hAnsiTheme="majorHAnsi" w:cstheme="majorHAnsi"/>
              </w:rPr>
              <w:t xml:space="preserve"> – jeśli to konieczne</w:t>
            </w:r>
          </w:p>
        </w:tc>
      </w:tr>
      <w:tr w:rsidR="00D92C44" w14:paraId="0E8D9E7C" w14:textId="77777777" w:rsidTr="00AD5FB1">
        <w:tc>
          <w:tcPr>
            <w:tcW w:w="2265" w:type="dxa"/>
          </w:tcPr>
          <w:p w14:paraId="4D2A3982" w14:textId="402E9628" w:rsidR="00D92C44" w:rsidRDefault="004B4152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Perspektywa czasowa</w:t>
            </w:r>
          </w:p>
        </w:tc>
        <w:tc>
          <w:tcPr>
            <w:tcW w:w="6797" w:type="dxa"/>
            <w:gridSpan w:val="3"/>
          </w:tcPr>
          <w:p w14:paraId="496498D1" w14:textId="77777777" w:rsidR="00D92C44" w:rsidRDefault="004B4152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Rok 2023 powinien pozwolić na określenie ram czasowych realizacji poszczególnych zadań, ze względu na planowany konkurs na realizację Lokalnych Strategii Rozwoju w ramach kolejnej perspektywy finansowej UE.</w:t>
            </w:r>
          </w:p>
          <w:p w14:paraId="67ED1D65" w14:textId="1C43B8B6" w:rsidR="004B4152" w:rsidRDefault="004B4152" w:rsidP="00011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Skala realizowanej nowej LSR stanowić będzie wyznacznik do możliwości organizacji</w:t>
            </w:r>
            <w:r w:rsidR="00B51E31">
              <w:rPr>
                <w:rFonts w:asciiTheme="majorHAnsi" w:hAnsiTheme="majorHAnsi" w:cstheme="majorHAnsi"/>
              </w:rPr>
              <w:t xml:space="preserve"> realizacja działań wskazanych powyżej.</w:t>
            </w:r>
          </w:p>
        </w:tc>
      </w:tr>
    </w:tbl>
    <w:p w14:paraId="2905205F" w14:textId="44B7ADE2" w:rsidR="000E08B7" w:rsidRPr="00327455" w:rsidRDefault="000E08B7" w:rsidP="00011F10">
      <w:pPr>
        <w:rPr>
          <w:rFonts w:asciiTheme="majorHAnsi" w:hAnsiTheme="majorHAnsi" w:cstheme="majorHAnsi"/>
        </w:rPr>
      </w:pPr>
    </w:p>
    <w:sectPr w:rsidR="000E08B7" w:rsidRPr="00327455" w:rsidSect="000E08B7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574D" w14:textId="77777777" w:rsidR="00134B12" w:rsidRDefault="00134B12" w:rsidP="00AA5550">
      <w:pPr>
        <w:spacing w:after="0" w:line="240" w:lineRule="auto"/>
      </w:pPr>
      <w:r>
        <w:separator/>
      </w:r>
    </w:p>
  </w:endnote>
  <w:endnote w:type="continuationSeparator" w:id="0">
    <w:p w14:paraId="4FDC4AD9" w14:textId="77777777" w:rsidR="00134B12" w:rsidRDefault="00134B12" w:rsidP="00AA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BBC" w14:textId="77777777" w:rsidR="00AA5550" w:rsidRPr="00701556" w:rsidRDefault="00AA5550" w:rsidP="00AA5550">
    <w:pPr>
      <w:pStyle w:val="Stopka"/>
      <w:rPr>
        <w:sz w:val="20"/>
        <w:szCs w:val="20"/>
      </w:rPr>
    </w:pPr>
    <w:r w:rsidRPr="00701556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19140A62" wp14:editId="30DF0095">
          <wp:simplePos x="0" y="0"/>
          <wp:positionH relativeFrom="column">
            <wp:posOffset>4824730</wp:posOffset>
          </wp:positionH>
          <wp:positionV relativeFrom="paragraph">
            <wp:posOffset>-108585</wp:posOffset>
          </wp:positionV>
          <wp:extent cx="1483360" cy="520641"/>
          <wp:effectExtent l="0" t="0" r="2540" b="0"/>
          <wp:wrapSquare wrapText="bothSides"/>
          <wp:docPr id="46" name="Obraz 46" descr="P:\Aktywni Obywatele\DK\12. Active Citizens Fund logo package\Active-citizens-fund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ktywni Obywatele\DK\12. Active Citizens Fund logo package\Active-citizens-fund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2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F54" w:rsidRPr="00701556">
      <w:rPr>
        <w:b/>
      </w:rPr>
      <w:t>„</w:t>
    </w:r>
    <w:r w:rsidR="00636F54" w:rsidRPr="00701556">
      <w:rPr>
        <w:rFonts w:ascii="Century Gothic" w:hAnsi="Century Gothic"/>
        <w:b/>
        <w:sz w:val="20"/>
        <w:szCs w:val="20"/>
      </w:rPr>
      <w:t>Inicjatywa obywatelska – model lokalny”</w:t>
    </w:r>
    <w:r w:rsidR="00701556" w:rsidRPr="00701556">
      <w:rPr>
        <w:rFonts w:ascii="Century Gothic" w:hAnsi="Century Gothic"/>
        <w:sz w:val="20"/>
        <w:szCs w:val="20"/>
      </w:rPr>
      <w:t xml:space="preserve"> - </w:t>
    </w:r>
    <w:r w:rsidR="00701556" w:rsidRPr="00701556">
      <w:rPr>
        <w:rFonts w:ascii="Century Gothic" w:hAnsi="Century Gothic"/>
        <w:i/>
        <w:sz w:val="20"/>
        <w:szCs w:val="20"/>
      </w:rPr>
      <w:t xml:space="preserve">Projekt realizowany </w:t>
    </w:r>
    <w:r w:rsidR="00701556" w:rsidRPr="00701556">
      <w:rPr>
        <w:rFonts w:ascii="Century Gothic" w:hAnsi="Century Gothic"/>
        <w:i/>
        <w:sz w:val="20"/>
        <w:szCs w:val="20"/>
      </w:rPr>
      <w:br/>
    </w:r>
    <w:r w:rsidR="00701556">
      <w:rPr>
        <w:rFonts w:ascii="Century Gothic" w:hAnsi="Century Gothic"/>
        <w:i/>
        <w:sz w:val="20"/>
        <w:szCs w:val="20"/>
      </w:rPr>
      <w:t xml:space="preserve"> </w:t>
    </w:r>
    <w:r w:rsidR="00701556" w:rsidRPr="00701556">
      <w:rPr>
        <w:rFonts w:ascii="Century Gothic" w:hAnsi="Century Gothic"/>
        <w:i/>
        <w:sz w:val="20"/>
        <w:szCs w:val="20"/>
      </w:rPr>
      <w:t>z dotacji programu Aktywni Obywatele – Fundusz Krajowy, finansowanego</w:t>
    </w:r>
    <w:r w:rsidR="00701556">
      <w:rPr>
        <w:rFonts w:ascii="Century Gothic" w:hAnsi="Century Gothic"/>
        <w:i/>
        <w:sz w:val="20"/>
        <w:szCs w:val="20"/>
      </w:rPr>
      <w:br/>
    </w:r>
    <w:r w:rsidR="00701556" w:rsidRPr="00701556">
      <w:rPr>
        <w:rFonts w:ascii="Century Gothic" w:hAnsi="Century Gothic"/>
        <w:i/>
        <w:sz w:val="20"/>
        <w:szCs w:val="20"/>
      </w:rPr>
      <w:t xml:space="preserve"> z Funduszy EOG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F303" w14:textId="77777777" w:rsidR="00134B12" w:rsidRDefault="00134B12" w:rsidP="00AA5550">
      <w:pPr>
        <w:spacing w:after="0" w:line="240" w:lineRule="auto"/>
      </w:pPr>
      <w:r>
        <w:separator/>
      </w:r>
    </w:p>
  </w:footnote>
  <w:footnote w:type="continuationSeparator" w:id="0">
    <w:p w14:paraId="3FA39C9C" w14:textId="77777777" w:rsidR="00134B12" w:rsidRDefault="00134B12" w:rsidP="00AA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0249" w14:textId="77777777" w:rsidR="00AA5550" w:rsidRPr="00AA5550" w:rsidRDefault="00AA5550" w:rsidP="00AA5550">
    <w:pPr>
      <w:tabs>
        <w:tab w:val="center" w:pos="4253"/>
        <w:tab w:val="left" w:pos="4678"/>
        <w:tab w:val="left" w:pos="4820"/>
        <w:tab w:val="right" w:pos="5245"/>
      </w:tabs>
      <w:spacing w:after="0" w:line="240" w:lineRule="auto"/>
      <w:ind w:left="-426" w:right="4394"/>
      <w:jc w:val="center"/>
      <w:rPr>
        <w:rFonts w:ascii="Calibri Light" w:eastAsia="Calibri" w:hAnsi="Calibri Light"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C0BCD9" wp14:editId="7419B3CF">
          <wp:simplePos x="0" y="0"/>
          <wp:positionH relativeFrom="column">
            <wp:posOffset>4434205</wp:posOffset>
          </wp:positionH>
          <wp:positionV relativeFrom="paragraph">
            <wp:posOffset>-211455</wp:posOffset>
          </wp:positionV>
          <wp:extent cx="1840865" cy="705485"/>
          <wp:effectExtent l="0" t="0" r="6985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550">
      <w:rPr>
        <w:rFonts w:ascii="Calibri Light" w:eastAsia="Calibri" w:hAnsi="Calibri Light" w:cs="Times New Roman"/>
        <w:b/>
      </w:rPr>
      <w:t>Stowarzyszenie Wdzydzko - Charzykowska Lokalna Grupa Rybacka „Mòrénka”</w:t>
    </w:r>
  </w:p>
  <w:p w14:paraId="52B2882E" w14:textId="77777777" w:rsidR="00AA5550" w:rsidRPr="00AA5550" w:rsidRDefault="00AA5550" w:rsidP="00AA5550">
    <w:pPr>
      <w:tabs>
        <w:tab w:val="left" w:pos="3969"/>
        <w:tab w:val="left" w:pos="4253"/>
        <w:tab w:val="left" w:pos="4678"/>
        <w:tab w:val="left" w:pos="4820"/>
      </w:tabs>
      <w:spacing w:after="0" w:line="240" w:lineRule="auto"/>
      <w:ind w:left="-426" w:right="4394"/>
      <w:jc w:val="center"/>
      <w:rPr>
        <w:rFonts w:ascii="Calibri Light" w:eastAsia="Calibri" w:hAnsi="Calibri Light" w:cs="Times New Roman"/>
        <w:sz w:val="20"/>
      </w:rPr>
    </w:pPr>
    <w:r w:rsidRPr="00AA5550">
      <w:rPr>
        <w:rFonts w:ascii="Calibri Light" w:eastAsia="Calibri" w:hAnsi="Calibri Light" w:cs="Times New Roman"/>
        <w:sz w:val="20"/>
      </w:rPr>
      <w:t>ul. Rybacka 10, 89-606 Charzykowy</w:t>
    </w:r>
  </w:p>
  <w:p w14:paraId="261F2880" w14:textId="77777777" w:rsidR="000B4CE1" w:rsidRDefault="00AA5550" w:rsidP="00AA5550">
    <w:pPr>
      <w:pStyle w:val="Nagwek"/>
      <w:rPr>
        <w:noProof/>
        <w:lang w:eastAsia="pl-PL"/>
      </w:rPr>
    </w:pPr>
    <w:r w:rsidRPr="00AA5550">
      <w:rPr>
        <w:rFonts w:ascii="Calibri Light" w:eastAsia="Calibri" w:hAnsi="Calibri Light" w:cs="Times New Roman"/>
        <w:sz w:val="20"/>
      </w:rPr>
      <w:t xml:space="preserve">tel./fax: 52-334-33-07, e-mail: </w:t>
    </w:r>
    <w:hyperlink r:id="rId2" w:history="1">
      <w:r w:rsidR="00571019" w:rsidRPr="00C157D9">
        <w:rPr>
          <w:rStyle w:val="Hipercze"/>
          <w:rFonts w:ascii="Calibri Light" w:eastAsia="Calibri" w:hAnsi="Calibri Light" w:cs="Times New Roman"/>
          <w:sz w:val="20"/>
        </w:rPr>
        <w:t>biuro@lgrmorenka.pl</w:t>
      </w:r>
    </w:hyperlink>
    <w:r w:rsidR="00571019">
      <w:rPr>
        <w:rFonts w:ascii="Calibri Light" w:eastAsia="Calibri" w:hAnsi="Calibri Light" w:cs="Times New Roman"/>
        <w:sz w:val="20"/>
      </w:rPr>
      <w:t xml:space="preserve"> </w:t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3A9"/>
    <w:multiLevelType w:val="hybridMultilevel"/>
    <w:tmpl w:val="8B64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BF8"/>
    <w:multiLevelType w:val="hybridMultilevel"/>
    <w:tmpl w:val="0E3E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3B0B"/>
    <w:multiLevelType w:val="hybridMultilevel"/>
    <w:tmpl w:val="C126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158"/>
    <w:multiLevelType w:val="hybridMultilevel"/>
    <w:tmpl w:val="534E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7F08"/>
    <w:multiLevelType w:val="hybridMultilevel"/>
    <w:tmpl w:val="D76A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6886"/>
    <w:multiLevelType w:val="hybridMultilevel"/>
    <w:tmpl w:val="83C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9B1"/>
    <w:multiLevelType w:val="hybridMultilevel"/>
    <w:tmpl w:val="11DEC3F6"/>
    <w:lvl w:ilvl="0" w:tplc="4BB86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2304">
    <w:abstractNumId w:val="6"/>
  </w:num>
  <w:num w:numId="2" w16cid:durableId="1014310143">
    <w:abstractNumId w:val="5"/>
  </w:num>
  <w:num w:numId="3" w16cid:durableId="407267801">
    <w:abstractNumId w:val="4"/>
  </w:num>
  <w:num w:numId="4" w16cid:durableId="102193170">
    <w:abstractNumId w:val="0"/>
  </w:num>
  <w:num w:numId="5" w16cid:durableId="1053195220">
    <w:abstractNumId w:val="3"/>
  </w:num>
  <w:num w:numId="6" w16cid:durableId="857432120">
    <w:abstractNumId w:val="2"/>
  </w:num>
  <w:num w:numId="7" w16cid:durableId="40253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D8"/>
    <w:rsid w:val="00011F10"/>
    <w:rsid w:val="00014DF4"/>
    <w:rsid w:val="000665F9"/>
    <w:rsid w:val="000919E6"/>
    <w:rsid w:val="000A6891"/>
    <w:rsid w:val="000B4CE1"/>
    <w:rsid w:val="000E08B7"/>
    <w:rsid w:val="00134B12"/>
    <w:rsid w:val="001710B5"/>
    <w:rsid w:val="00194E75"/>
    <w:rsid w:val="001A6679"/>
    <w:rsid w:val="001F3F51"/>
    <w:rsid w:val="001F55F3"/>
    <w:rsid w:val="00291F94"/>
    <w:rsid w:val="003045ED"/>
    <w:rsid w:val="00327455"/>
    <w:rsid w:val="00355812"/>
    <w:rsid w:val="003F5B04"/>
    <w:rsid w:val="00403C81"/>
    <w:rsid w:val="0042770A"/>
    <w:rsid w:val="00476D69"/>
    <w:rsid w:val="004B4152"/>
    <w:rsid w:val="005030D5"/>
    <w:rsid w:val="0054405D"/>
    <w:rsid w:val="0054713A"/>
    <w:rsid w:val="0056282A"/>
    <w:rsid w:val="00571019"/>
    <w:rsid w:val="005833CD"/>
    <w:rsid w:val="005B5C04"/>
    <w:rsid w:val="00636F54"/>
    <w:rsid w:val="006452FB"/>
    <w:rsid w:val="006B15F7"/>
    <w:rsid w:val="006B29BC"/>
    <w:rsid w:val="006C568C"/>
    <w:rsid w:val="006D34B5"/>
    <w:rsid w:val="00701556"/>
    <w:rsid w:val="00777925"/>
    <w:rsid w:val="00780E7C"/>
    <w:rsid w:val="00825445"/>
    <w:rsid w:val="00853362"/>
    <w:rsid w:val="008A6816"/>
    <w:rsid w:val="0090106E"/>
    <w:rsid w:val="0091631A"/>
    <w:rsid w:val="009458FB"/>
    <w:rsid w:val="00A04A2A"/>
    <w:rsid w:val="00A07BB0"/>
    <w:rsid w:val="00A62CD1"/>
    <w:rsid w:val="00AA5550"/>
    <w:rsid w:val="00B51E31"/>
    <w:rsid w:val="00CA3CCA"/>
    <w:rsid w:val="00CF6171"/>
    <w:rsid w:val="00D04768"/>
    <w:rsid w:val="00D660D8"/>
    <w:rsid w:val="00D80686"/>
    <w:rsid w:val="00D92C44"/>
    <w:rsid w:val="00D92F3A"/>
    <w:rsid w:val="00DC3A94"/>
    <w:rsid w:val="00DE7286"/>
    <w:rsid w:val="00E01BAD"/>
    <w:rsid w:val="00E878AC"/>
    <w:rsid w:val="00EC0355"/>
    <w:rsid w:val="00F30FF5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7C23"/>
  <w15:docId w15:val="{7E0BE4C3-B462-45E5-ABEC-061D98D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50"/>
  </w:style>
  <w:style w:type="paragraph" w:styleId="Stopka">
    <w:name w:val="footer"/>
    <w:basedOn w:val="Normalny"/>
    <w:link w:val="StopkaZnak"/>
    <w:uiPriority w:val="99"/>
    <w:unhideWhenUsed/>
    <w:rsid w:val="00A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50"/>
  </w:style>
  <w:style w:type="table" w:styleId="Tabela-Siatka">
    <w:name w:val="Table Grid"/>
    <w:basedOn w:val="Standardowy"/>
    <w:uiPriority w:val="39"/>
    <w:rsid w:val="0030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0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rmorenka.pl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39477-35A4-4B48-BD07-D0F470914CC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55D1A87-5EB2-402F-BFF1-B9963FF4B230}">
      <dgm:prSet phldrT="[Tekst]"/>
      <dgm:spPr/>
      <dgm:t>
        <a:bodyPr/>
        <a:lstStyle/>
        <a:p>
          <a:pPr algn="just"/>
          <a:r>
            <a:rPr lang="pl-PL"/>
            <a:t>CEL OGÓLNY I. </a:t>
          </a:r>
        </a:p>
        <a:p>
          <a:pPr algn="just"/>
          <a:r>
            <a:rPr lang="pl-PL"/>
            <a:t>WYSOKA AKTYWNOŚĆ MIESZKAŃCÓW NA LOKALNYM RYNKU PRACY I ROZWÓJ PRZEDSIĘBIORCZOŚCI W OPARCIU O ZASOBY I POTENCJAŁ OBSZARU RYBACKIEGO</a:t>
          </a:r>
        </a:p>
      </dgm:t>
    </dgm:pt>
    <dgm:pt modelId="{68777F25-B992-4D28-8BFC-F18045DCF8E7}" type="parTrans" cxnId="{30A8040D-70BE-4A1F-A895-3D61D7E19DA1}">
      <dgm:prSet/>
      <dgm:spPr/>
      <dgm:t>
        <a:bodyPr/>
        <a:lstStyle/>
        <a:p>
          <a:endParaRPr lang="pl-PL"/>
        </a:p>
      </dgm:t>
    </dgm:pt>
    <dgm:pt modelId="{33644491-E1E1-40B0-BBCC-558251F5FEFC}" type="sibTrans" cxnId="{30A8040D-70BE-4A1F-A895-3D61D7E19DA1}">
      <dgm:prSet/>
      <dgm:spPr/>
      <dgm:t>
        <a:bodyPr/>
        <a:lstStyle/>
        <a:p>
          <a:endParaRPr lang="pl-PL"/>
        </a:p>
      </dgm:t>
    </dgm:pt>
    <dgm:pt modelId="{4B3D218E-666D-47DB-9E65-00D8E21BBD00}">
      <dgm:prSet phldrT="[Tekst]" custT="1"/>
      <dgm:spPr/>
      <dgm:t>
        <a:bodyPr/>
        <a:lstStyle/>
        <a:p>
          <a:pPr algn="just"/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I.1. Wzrost konkurencyjności sektora rybackiego</a:t>
          </a:r>
        </a:p>
      </dgm:t>
    </dgm:pt>
    <dgm:pt modelId="{BA7CD08F-CF88-417C-BCDF-E9F15A8B4497}" type="parTrans" cxnId="{E874B95B-29FD-4E56-B173-217DF3C6FBFF}">
      <dgm:prSet/>
      <dgm:spPr/>
      <dgm:t>
        <a:bodyPr/>
        <a:lstStyle/>
        <a:p>
          <a:endParaRPr lang="pl-PL"/>
        </a:p>
      </dgm:t>
    </dgm:pt>
    <dgm:pt modelId="{8030931B-7C1C-4076-BBDB-6C1F6966D83F}" type="sibTrans" cxnId="{E874B95B-29FD-4E56-B173-217DF3C6FBFF}">
      <dgm:prSet/>
      <dgm:spPr/>
      <dgm:t>
        <a:bodyPr/>
        <a:lstStyle/>
        <a:p>
          <a:endParaRPr lang="pl-PL"/>
        </a:p>
      </dgm:t>
    </dgm:pt>
    <dgm:pt modelId="{58EA4506-FA90-4895-A2AF-59C1244FE047}">
      <dgm:prSet phldrT="[Tekst]"/>
      <dgm:spPr/>
      <dgm:t>
        <a:bodyPr/>
        <a:lstStyle/>
        <a:p>
          <a:pPr algn="just"/>
          <a:r>
            <a:rPr lang="pl-PL"/>
            <a:t>CEL OGÓLNY II. </a:t>
          </a:r>
        </a:p>
        <a:p>
          <a:pPr algn="just"/>
          <a:r>
            <a:rPr lang="pl-PL"/>
            <a:t>REGION JAKO SPÓJNY PRODUKT TURYSTYCZNY „MIĘDZY BRĄ A WDĄ” I OTOCZENIE PRZYJAZNE DLA ŻYCIA I AKTYWNOŚCI MIESZKAŃCÓW</a:t>
          </a:r>
        </a:p>
      </dgm:t>
    </dgm:pt>
    <dgm:pt modelId="{95711E62-8AD6-401F-94D1-43CEF0F1FEE9}" type="parTrans" cxnId="{422EA905-F98F-4BD1-8BBB-B4D5E8CD3E4F}">
      <dgm:prSet/>
      <dgm:spPr/>
      <dgm:t>
        <a:bodyPr/>
        <a:lstStyle/>
        <a:p>
          <a:endParaRPr lang="pl-PL"/>
        </a:p>
      </dgm:t>
    </dgm:pt>
    <dgm:pt modelId="{6D510F1C-DAC1-4034-92C0-B8F8EFAAB1AE}" type="sibTrans" cxnId="{422EA905-F98F-4BD1-8BBB-B4D5E8CD3E4F}">
      <dgm:prSet/>
      <dgm:spPr/>
      <dgm:t>
        <a:bodyPr/>
        <a:lstStyle/>
        <a:p>
          <a:endParaRPr lang="pl-PL"/>
        </a:p>
      </dgm:t>
    </dgm:pt>
    <dgm:pt modelId="{386BFC96-DEBD-4A14-A669-2F1399AD22D3}">
      <dgm:prSet phldrT="[Tekst]" custT="1"/>
      <dgm:spPr/>
      <dgm:t>
        <a:bodyPr/>
        <a:lstStyle/>
        <a:p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II.1. Wzmocnienie konkurencyjności obszaru rybackiego poprzez rozwój oferty turystycznej i rekreacyjnej</a:t>
          </a:r>
        </a:p>
      </dgm:t>
    </dgm:pt>
    <dgm:pt modelId="{DB29D1DA-435A-4329-8D01-F30E384F95E8}" type="parTrans" cxnId="{FCCC6205-0394-4574-B43C-A31415A35025}">
      <dgm:prSet/>
      <dgm:spPr/>
      <dgm:t>
        <a:bodyPr/>
        <a:lstStyle/>
        <a:p>
          <a:endParaRPr lang="pl-PL"/>
        </a:p>
      </dgm:t>
    </dgm:pt>
    <dgm:pt modelId="{A5EB7E0A-48F1-4CD2-8CB0-2CA254543233}" type="sibTrans" cxnId="{FCCC6205-0394-4574-B43C-A31415A35025}">
      <dgm:prSet/>
      <dgm:spPr/>
      <dgm:t>
        <a:bodyPr/>
        <a:lstStyle/>
        <a:p>
          <a:endParaRPr lang="pl-PL"/>
        </a:p>
      </dgm:t>
    </dgm:pt>
    <dgm:pt modelId="{BA22329C-E85F-4B16-9206-0B6501592976}">
      <dgm:prSet phldrT="[Tekst]" custT="1"/>
      <dgm:spPr/>
      <dgm:t>
        <a:bodyPr/>
        <a:lstStyle/>
        <a:p>
          <a:pPr algn="just"/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I.2. Rozwój przedsiębiorczości poprzez tworzenie i rozwój MŚP oferujących usługi oparte na wodnym potencjale obszaru</a:t>
          </a:r>
        </a:p>
      </dgm:t>
    </dgm:pt>
    <dgm:pt modelId="{506D629F-1580-42A5-9B11-E0E09FD1C2E6}" type="parTrans" cxnId="{F5CF495C-D218-4F0E-AA5C-F256E51D46C5}">
      <dgm:prSet/>
      <dgm:spPr/>
      <dgm:t>
        <a:bodyPr/>
        <a:lstStyle/>
        <a:p>
          <a:endParaRPr lang="pl-PL"/>
        </a:p>
      </dgm:t>
    </dgm:pt>
    <dgm:pt modelId="{7C54FA4E-3C7B-46A9-9936-014A58D2C61C}" type="sibTrans" cxnId="{F5CF495C-D218-4F0E-AA5C-F256E51D46C5}">
      <dgm:prSet/>
      <dgm:spPr/>
      <dgm:t>
        <a:bodyPr/>
        <a:lstStyle/>
        <a:p>
          <a:endParaRPr lang="pl-PL"/>
        </a:p>
      </dgm:t>
    </dgm:pt>
    <dgm:pt modelId="{96C62F28-EB43-4480-86B3-7840294E0615}">
      <dgm:prSet phldrT="[Tekst]" custT="1"/>
      <dgm:spPr/>
      <dgm:t>
        <a:bodyPr/>
        <a:lstStyle/>
        <a:p>
          <a:pPr algn="just"/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I.3. Zwiększanie zatrudnienia osób pozostających bez pracy, trwałości nowoutworzonych mikroprzedsiębiorstw oraz rozwój usług społecznych</a:t>
          </a:r>
        </a:p>
      </dgm:t>
    </dgm:pt>
    <dgm:pt modelId="{F6B33BCD-196D-4B95-A00A-A8F202D0C3B2}" type="parTrans" cxnId="{47F17702-A66F-478A-B3C5-AC9222A902D8}">
      <dgm:prSet/>
      <dgm:spPr/>
      <dgm:t>
        <a:bodyPr/>
        <a:lstStyle/>
        <a:p>
          <a:endParaRPr lang="pl-PL"/>
        </a:p>
      </dgm:t>
    </dgm:pt>
    <dgm:pt modelId="{F798422B-310D-4BC0-B2F5-2F21FC3CA031}" type="sibTrans" cxnId="{47F17702-A66F-478A-B3C5-AC9222A902D8}">
      <dgm:prSet/>
      <dgm:spPr/>
      <dgm:t>
        <a:bodyPr/>
        <a:lstStyle/>
        <a:p>
          <a:endParaRPr lang="pl-PL"/>
        </a:p>
      </dgm:t>
    </dgm:pt>
    <dgm:pt modelId="{6D9FD4A3-A093-4262-A04F-69B71DC8A266}">
      <dgm:prSet phldrT="[Tekst]" custT="1"/>
      <dgm:spPr/>
      <dgm:t>
        <a:bodyPr/>
        <a:lstStyle/>
        <a:p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II.2. Zrównoważone wykorzystanie atutów środowiska</a:t>
          </a:r>
        </a:p>
      </dgm:t>
    </dgm:pt>
    <dgm:pt modelId="{4DF95359-AFDA-4BF1-9F7C-31C5A656EB94}" type="parTrans" cxnId="{03D772B2-E1D4-4BF9-A04D-22BA3DB23830}">
      <dgm:prSet/>
      <dgm:spPr/>
      <dgm:t>
        <a:bodyPr/>
        <a:lstStyle/>
        <a:p>
          <a:endParaRPr lang="pl-PL"/>
        </a:p>
      </dgm:t>
    </dgm:pt>
    <dgm:pt modelId="{D141AFFA-FB7C-4693-8251-95A3C5021FF6}" type="sibTrans" cxnId="{03D772B2-E1D4-4BF9-A04D-22BA3DB23830}">
      <dgm:prSet/>
      <dgm:spPr/>
      <dgm:t>
        <a:bodyPr/>
        <a:lstStyle/>
        <a:p>
          <a:endParaRPr lang="pl-PL"/>
        </a:p>
      </dgm:t>
    </dgm:pt>
    <dgm:pt modelId="{3B735A5F-AFE0-4A4F-A412-293BCC8B46E5}">
      <dgm:prSet phldrT="[Tekst]" custT="1"/>
      <dgm:spPr/>
      <dgm:t>
        <a:bodyPr/>
        <a:lstStyle/>
        <a:p>
          <a:r>
            <a:rPr lang="pl-PL" sz="1100" i="1">
              <a:solidFill>
                <a:schemeClr val="accent1">
                  <a:lumMod val="75000"/>
                </a:schemeClr>
              </a:solidFill>
            </a:rPr>
            <a:t>Cel szczegółowy II.3. Większa rola dziedzictwa kulturowego w rozwoju lokalnym kierowanym przez społeczność na obszarze rybackim</a:t>
          </a:r>
        </a:p>
      </dgm:t>
    </dgm:pt>
    <dgm:pt modelId="{1122ECAF-0DA9-47FB-A3A2-4F2CA0BDFEE8}" type="parTrans" cxnId="{3AA5CC79-1353-45AF-9601-E61A0E05F48E}">
      <dgm:prSet/>
      <dgm:spPr/>
      <dgm:t>
        <a:bodyPr/>
        <a:lstStyle/>
        <a:p>
          <a:endParaRPr lang="pl-PL"/>
        </a:p>
      </dgm:t>
    </dgm:pt>
    <dgm:pt modelId="{BE594E57-8529-4D3B-9DD4-059906814722}" type="sibTrans" cxnId="{3AA5CC79-1353-45AF-9601-E61A0E05F48E}">
      <dgm:prSet/>
      <dgm:spPr/>
      <dgm:t>
        <a:bodyPr/>
        <a:lstStyle/>
        <a:p>
          <a:endParaRPr lang="pl-PL"/>
        </a:p>
      </dgm:t>
    </dgm:pt>
    <dgm:pt modelId="{4F20276F-76BD-47B4-BABF-E8F0D624C540}" type="pres">
      <dgm:prSet presAssocID="{26839477-35A4-4B48-BD07-D0F470914CC2}" presName="linear" presStyleCnt="0">
        <dgm:presLayoutVars>
          <dgm:animLvl val="lvl"/>
          <dgm:resizeHandles val="exact"/>
        </dgm:presLayoutVars>
      </dgm:prSet>
      <dgm:spPr/>
    </dgm:pt>
    <dgm:pt modelId="{BE8AFB7F-8BD4-468E-B5FE-52CD7531D77D}" type="pres">
      <dgm:prSet presAssocID="{055D1A87-5EB2-402F-BFF1-B9963FF4B230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BC3A2FB7-6C9A-43A4-A0D4-7B46B0F79213}" type="pres">
      <dgm:prSet presAssocID="{055D1A87-5EB2-402F-BFF1-B9963FF4B230}" presName="childText" presStyleLbl="revTx" presStyleIdx="0" presStyleCnt="2">
        <dgm:presLayoutVars>
          <dgm:bulletEnabled val="1"/>
        </dgm:presLayoutVars>
      </dgm:prSet>
      <dgm:spPr/>
    </dgm:pt>
    <dgm:pt modelId="{24EA2A09-9830-4D22-A88D-33603B707BDA}" type="pres">
      <dgm:prSet presAssocID="{58EA4506-FA90-4895-A2AF-59C1244FE047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A5A56975-301B-4848-A194-35DD043985FF}" type="pres">
      <dgm:prSet presAssocID="{58EA4506-FA90-4895-A2AF-59C1244FE047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47F17702-A66F-478A-B3C5-AC9222A902D8}" srcId="{055D1A87-5EB2-402F-BFF1-B9963FF4B230}" destId="{96C62F28-EB43-4480-86B3-7840294E0615}" srcOrd="2" destOrd="0" parTransId="{F6B33BCD-196D-4B95-A00A-A8F202D0C3B2}" sibTransId="{F798422B-310D-4BC0-B2F5-2F21FC3CA031}"/>
    <dgm:cxn modelId="{FCCC6205-0394-4574-B43C-A31415A35025}" srcId="{58EA4506-FA90-4895-A2AF-59C1244FE047}" destId="{386BFC96-DEBD-4A14-A669-2F1399AD22D3}" srcOrd="0" destOrd="0" parTransId="{DB29D1DA-435A-4329-8D01-F30E384F95E8}" sibTransId="{A5EB7E0A-48F1-4CD2-8CB0-2CA254543233}"/>
    <dgm:cxn modelId="{422EA905-F98F-4BD1-8BBB-B4D5E8CD3E4F}" srcId="{26839477-35A4-4B48-BD07-D0F470914CC2}" destId="{58EA4506-FA90-4895-A2AF-59C1244FE047}" srcOrd="1" destOrd="0" parTransId="{95711E62-8AD6-401F-94D1-43CEF0F1FEE9}" sibTransId="{6D510F1C-DAC1-4034-92C0-B8F8EFAAB1AE}"/>
    <dgm:cxn modelId="{30A8040D-70BE-4A1F-A895-3D61D7E19DA1}" srcId="{26839477-35A4-4B48-BD07-D0F470914CC2}" destId="{055D1A87-5EB2-402F-BFF1-B9963FF4B230}" srcOrd="0" destOrd="0" parTransId="{68777F25-B992-4D28-8BFC-F18045DCF8E7}" sibTransId="{33644491-E1E1-40B0-BBCC-558251F5FEFC}"/>
    <dgm:cxn modelId="{2554E10F-6358-4922-9C2F-250D0114DD5B}" type="presOf" srcId="{26839477-35A4-4B48-BD07-D0F470914CC2}" destId="{4F20276F-76BD-47B4-BABF-E8F0D624C540}" srcOrd="0" destOrd="0" presId="urn:microsoft.com/office/officeart/2005/8/layout/vList2"/>
    <dgm:cxn modelId="{E840522D-49C8-4514-A1A1-5E4188E4431B}" type="presOf" srcId="{4B3D218E-666D-47DB-9E65-00D8E21BBD00}" destId="{BC3A2FB7-6C9A-43A4-A0D4-7B46B0F79213}" srcOrd="0" destOrd="0" presId="urn:microsoft.com/office/officeart/2005/8/layout/vList2"/>
    <dgm:cxn modelId="{1AB19033-7984-48FD-B978-E0AB3B412929}" type="presOf" srcId="{58EA4506-FA90-4895-A2AF-59C1244FE047}" destId="{24EA2A09-9830-4D22-A88D-33603B707BDA}" srcOrd="0" destOrd="0" presId="urn:microsoft.com/office/officeart/2005/8/layout/vList2"/>
    <dgm:cxn modelId="{E874B95B-29FD-4E56-B173-217DF3C6FBFF}" srcId="{055D1A87-5EB2-402F-BFF1-B9963FF4B230}" destId="{4B3D218E-666D-47DB-9E65-00D8E21BBD00}" srcOrd="0" destOrd="0" parTransId="{BA7CD08F-CF88-417C-BCDF-E9F15A8B4497}" sibTransId="{8030931B-7C1C-4076-BBDB-6C1F6966D83F}"/>
    <dgm:cxn modelId="{F5CF495C-D218-4F0E-AA5C-F256E51D46C5}" srcId="{055D1A87-5EB2-402F-BFF1-B9963FF4B230}" destId="{BA22329C-E85F-4B16-9206-0B6501592976}" srcOrd="1" destOrd="0" parTransId="{506D629F-1580-42A5-9B11-E0E09FD1C2E6}" sibTransId="{7C54FA4E-3C7B-46A9-9936-014A58D2C61C}"/>
    <dgm:cxn modelId="{B958A76D-6064-4CBC-AABA-CCF9D0BF0898}" type="presOf" srcId="{96C62F28-EB43-4480-86B3-7840294E0615}" destId="{BC3A2FB7-6C9A-43A4-A0D4-7B46B0F79213}" srcOrd="0" destOrd="2" presId="urn:microsoft.com/office/officeart/2005/8/layout/vList2"/>
    <dgm:cxn modelId="{3AA5CC79-1353-45AF-9601-E61A0E05F48E}" srcId="{58EA4506-FA90-4895-A2AF-59C1244FE047}" destId="{3B735A5F-AFE0-4A4F-A412-293BCC8B46E5}" srcOrd="2" destOrd="0" parTransId="{1122ECAF-0DA9-47FB-A3A2-4F2CA0BDFEE8}" sibTransId="{BE594E57-8529-4D3B-9DD4-059906814722}"/>
    <dgm:cxn modelId="{1EE861A1-F691-499B-BA4F-24CE1F2DCD88}" type="presOf" srcId="{055D1A87-5EB2-402F-BFF1-B9963FF4B230}" destId="{BE8AFB7F-8BD4-468E-B5FE-52CD7531D77D}" srcOrd="0" destOrd="0" presId="urn:microsoft.com/office/officeart/2005/8/layout/vList2"/>
    <dgm:cxn modelId="{AFB0DBAD-8353-4A6B-A063-6E9748C404C6}" type="presOf" srcId="{6D9FD4A3-A093-4262-A04F-69B71DC8A266}" destId="{A5A56975-301B-4848-A194-35DD043985FF}" srcOrd="0" destOrd="1" presId="urn:microsoft.com/office/officeart/2005/8/layout/vList2"/>
    <dgm:cxn modelId="{03D772B2-E1D4-4BF9-A04D-22BA3DB23830}" srcId="{58EA4506-FA90-4895-A2AF-59C1244FE047}" destId="{6D9FD4A3-A093-4262-A04F-69B71DC8A266}" srcOrd="1" destOrd="0" parTransId="{4DF95359-AFDA-4BF1-9F7C-31C5A656EB94}" sibTransId="{D141AFFA-FB7C-4693-8251-95A3C5021FF6}"/>
    <dgm:cxn modelId="{8DB3FDC4-8BEC-401E-A5D9-253089E69963}" type="presOf" srcId="{386BFC96-DEBD-4A14-A669-2F1399AD22D3}" destId="{A5A56975-301B-4848-A194-35DD043985FF}" srcOrd="0" destOrd="0" presId="urn:microsoft.com/office/officeart/2005/8/layout/vList2"/>
    <dgm:cxn modelId="{B20AEBF3-561D-470E-AE94-C1EB15DCC595}" type="presOf" srcId="{BA22329C-E85F-4B16-9206-0B6501592976}" destId="{BC3A2FB7-6C9A-43A4-A0D4-7B46B0F79213}" srcOrd="0" destOrd="1" presId="urn:microsoft.com/office/officeart/2005/8/layout/vList2"/>
    <dgm:cxn modelId="{939E92FF-3869-4B43-AD59-67F7F2BA1D27}" type="presOf" srcId="{3B735A5F-AFE0-4A4F-A412-293BCC8B46E5}" destId="{A5A56975-301B-4848-A194-35DD043985FF}" srcOrd="0" destOrd="2" presId="urn:microsoft.com/office/officeart/2005/8/layout/vList2"/>
    <dgm:cxn modelId="{C831911C-FEF5-457A-94CE-1515D9AF65EC}" type="presParOf" srcId="{4F20276F-76BD-47B4-BABF-E8F0D624C540}" destId="{BE8AFB7F-8BD4-468E-B5FE-52CD7531D77D}" srcOrd="0" destOrd="0" presId="urn:microsoft.com/office/officeart/2005/8/layout/vList2"/>
    <dgm:cxn modelId="{2F2B31B9-1EA3-4C62-AF94-4ED9DD82CA33}" type="presParOf" srcId="{4F20276F-76BD-47B4-BABF-E8F0D624C540}" destId="{BC3A2FB7-6C9A-43A4-A0D4-7B46B0F79213}" srcOrd="1" destOrd="0" presId="urn:microsoft.com/office/officeart/2005/8/layout/vList2"/>
    <dgm:cxn modelId="{A8497C0C-D729-4B53-8635-7C71AFE95719}" type="presParOf" srcId="{4F20276F-76BD-47B4-BABF-E8F0D624C540}" destId="{24EA2A09-9830-4D22-A88D-33603B707BDA}" srcOrd="2" destOrd="0" presId="urn:microsoft.com/office/officeart/2005/8/layout/vList2"/>
    <dgm:cxn modelId="{9A9AA32A-6A9C-4F86-AB31-71DBD6B23874}" type="presParOf" srcId="{4F20276F-76BD-47B4-BABF-E8F0D624C540}" destId="{A5A56975-301B-4848-A194-35DD043985F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8AFB7F-8BD4-468E-B5FE-52CD7531D77D}">
      <dsp:nvSpPr>
        <dsp:cNvPr id="0" name=""/>
        <dsp:cNvSpPr/>
      </dsp:nvSpPr>
      <dsp:spPr>
        <a:xfrm>
          <a:off x="0" y="23343"/>
          <a:ext cx="5760720" cy="1158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CEL OGÓLNY I. </a:t>
          </a:r>
        </a:p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WYSOKA AKTYWNOŚĆ MIESZKAŃCÓW NA LOKALNYM RYNKU PRACY I ROZWÓJ PRZEDSIĘBIORCZOŚCI W OPARCIU O ZASOBY I POTENCJAŁ OBSZARU RYBACKIEGO</a:t>
          </a:r>
        </a:p>
      </dsp:txBody>
      <dsp:txXfrm>
        <a:off x="56543" y="79886"/>
        <a:ext cx="5647634" cy="1045213"/>
      </dsp:txXfrm>
    </dsp:sp>
    <dsp:sp modelId="{BC3A2FB7-6C9A-43A4-A0D4-7B46B0F79213}">
      <dsp:nvSpPr>
        <dsp:cNvPr id="0" name=""/>
        <dsp:cNvSpPr/>
      </dsp:nvSpPr>
      <dsp:spPr>
        <a:xfrm>
          <a:off x="0" y="1181643"/>
          <a:ext cx="5760720" cy="869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903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I.1. Wzrost konkurencyjności sektora rybackiego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I.2. Rozwój przedsiębiorczości poprzez tworzenie i rozwój MŚP oferujących usługi oparte na wodnym potencjale obszaru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I.3. Zwiększanie zatrudnienia osób pozostających bez pracy, trwałości nowoutworzonych mikroprzedsiębiorstw oraz rozwój usług społecznych</a:t>
          </a:r>
        </a:p>
      </dsp:txBody>
      <dsp:txXfrm>
        <a:off x="0" y="1181643"/>
        <a:ext cx="5760720" cy="869400"/>
      </dsp:txXfrm>
    </dsp:sp>
    <dsp:sp modelId="{24EA2A09-9830-4D22-A88D-33603B707BDA}">
      <dsp:nvSpPr>
        <dsp:cNvPr id="0" name=""/>
        <dsp:cNvSpPr/>
      </dsp:nvSpPr>
      <dsp:spPr>
        <a:xfrm>
          <a:off x="0" y="2051044"/>
          <a:ext cx="5760720" cy="1158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CEL OGÓLNY II. </a:t>
          </a:r>
        </a:p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REGION JAKO SPÓJNY PRODUKT TURYSTYCZNY „MIĘDZY BRĄ A WDĄ” I OTOCZENIE PRZYJAZNE DLA ŻYCIA I AKTYWNOŚCI MIESZKAŃCÓW</a:t>
          </a:r>
        </a:p>
      </dsp:txBody>
      <dsp:txXfrm>
        <a:off x="56543" y="2107587"/>
        <a:ext cx="5647634" cy="1045213"/>
      </dsp:txXfrm>
    </dsp:sp>
    <dsp:sp modelId="{A5A56975-301B-4848-A194-35DD043985FF}">
      <dsp:nvSpPr>
        <dsp:cNvPr id="0" name=""/>
        <dsp:cNvSpPr/>
      </dsp:nvSpPr>
      <dsp:spPr>
        <a:xfrm>
          <a:off x="0" y="3209343"/>
          <a:ext cx="5760720" cy="869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90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II.1. Wzmocnienie konkurencyjności obszaru rybackiego poprzez rozwój oferty turystycznej i rekreacyjnej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II.2. Zrównoważone wykorzystanie atutów środowiska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i="1" kern="1200">
              <a:solidFill>
                <a:schemeClr val="accent1">
                  <a:lumMod val="75000"/>
                </a:schemeClr>
              </a:solidFill>
            </a:rPr>
            <a:t>Cel szczegółowy II.3. Większa rola dziedzictwa kulturowego w rozwoju lokalnym kierowanym przez społeczność na obszarze rybackim</a:t>
          </a:r>
        </a:p>
      </dsp:txBody>
      <dsp:txXfrm>
        <a:off x="0" y="3209343"/>
        <a:ext cx="5760720" cy="869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1D1F-8B60-4848-B89C-59CDF21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Adam Rogala</cp:lastModifiedBy>
  <cp:revision>5</cp:revision>
  <cp:lastPrinted>2022-10-14T09:18:00Z</cp:lastPrinted>
  <dcterms:created xsi:type="dcterms:W3CDTF">2022-10-14T09:04:00Z</dcterms:created>
  <dcterms:modified xsi:type="dcterms:W3CDTF">2022-12-02T14:31:00Z</dcterms:modified>
</cp:coreProperties>
</file>